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6C" w:rsidRPr="00DF0B6C" w:rsidRDefault="00DF0B6C" w:rsidP="00DF0B6C">
      <w:pPr>
        <w:pStyle w:val="a3"/>
        <w:shd w:val="clear" w:color="auto" w:fill="FFFFFF"/>
        <w:spacing w:line="324" w:lineRule="atLeast"/>
        <w:jc w:val="both"/>
        <w:rPr>
          <w:color w:val="000000"/>
          <w:sz w:val="28"/>
          <w:szCs w:val="28"/>
        </w:rPr>
      </w:pPr>
      <w:bookmarkStart w:id="0" w:name="_GoBack"/>
      <w:r w:rsidRPr="00DF0B6C">
        <w:rPr>
          <w:color w:val="000000"/>
          <w:sz w:val="28"/>
          <w:szCs w:val="28"/>
        </w:rPr>
        <w:t>Малый и средний бизнес привлек 470 млрд рублей в 2024 году при помощи зонтичных поручительств в рамках национального проекта «Малое и среднее предпринимательство». Это в полтора раза больше, чем годом ранее. Финансовую поддержку благодаря механизму получили более 38 тыс. предпринимателей.</w:t>
      </w:r>
    </w:p>
    <w:p w:rsidR="00DF0B6C" w:rsidRPr="00DF0B6C" w:rsidRDefault="00DF0B6C" w:rsidP="00DF0B6C">
      <w:pPr>
        <w:pStyle w:val="a3"/>
        <w:shd w:val="clear" w:color="auto" w:fill="FFFFFF"/>
        <w:spacing w:line="324" w:lineRule="atLeast"/>
        <w:jc w:val="both"/>
        <w:rPr>
          <w:color w:val="000000"/>
          <w:sz w:val="28"/>
          <w:szCs w:val="28"/>
        </w:rPr>
      </w:pPr>
      <w:r w:rsidRPr="00DF0B6C">
        <w:rPr>
          <w:rStyle w:val="a4"/>
          <w:color w:val="000000"/>
          <w:sz w:val="28"/>
          <w:szCs w:val="28"/>
        </w:rPr>
        <w:t>«По объему привлеченного финансирования МСП при помощи „зонтичных“ поручительств среди отраслей экономики в лидерах обрабатывающие производства — 106,4 млрд рублей, инфраструктурное строительство — 48,9 млрд рублей, транспортировка и хранение — 34,8 млрд рублей, научно-техническая деятельность — 17 млрд рублей, информация и связь — 16,1 млрд рублей, сельское хозяйство — 15,4 млрд рублей, гостиницы и общепит — 12,1 млрд рублей. То есть мы видим, что поддержку получают компании из приоритетных отраслей. Обеспечение доступа к кредитованию для них — стратегическая задача, так как это влияет не только на развитие сектора МСП, но и российской экономики в целом»</w:t>
      </w:r>
      <w:r w:rsidRPr="00DF0B6C">
        <w:rPr>
          <w:color w:val="000000"/>
          <w:sz w:val="28"/>
          <w:szCs w:val="28"/>
        </w:rPr>
        <w:t>, — отметила заместитель министра экономического развития России </w:t>
      </w:r>
      <w:r w:rsidRPr="00DF0B6C">
        <w:rPr>
          <w:rStyle w:val="a5"/>
          <w:color w:val="000000"/>
          <w:sz w:val="28"/>
          <w:szCs w:val="28"/>
        </w:rPr>
        <w:t xml:space="preserve">Татьяна </w:t>
      </w:r>
      <w:proofErr w:type="spellStart"/>
      <w:r w:rsidRPr="00DF0B6C">
        <w:rPr>
          <w:rStyle w:val="a5"/>
          <w:color w:val="000000"/>
          <w:sz w:val="28"/>
          <w:szCs w:val="28"/>
        </w:rPr>
        <w:t>Илюшникова</w:t>
      </w:r>
      <w:proofErr w:type="spellEnd"/>
      <w:r w:rsidRPr="00DF0B6C">
        <w:rPr>
          <w:color w:val="000000"/>
          <w:sz w:val="28"/>
          <w:szCs w:val="28"/>
        </w:rPr>
        <w:t>.</w:t>
      </w:r>
    </w:p>
    <w:p w:rsidR="00DF0B6C" w:rsidRPr="00DF0B6C" w:rsidRDefault="00DF0B6C" w:rsidP="00DF0B6C">
      <w:pPr>
        <w:pStyle w:val="a3"/>
        <w:shd w:val="clear" w:color="auto" w:fill="FFFFFF"/>
        <w:spacing w:line="324" w:lineRule="atLeast"/>
        <w:jc w:val="both"/>
        <w:rPr>
          <w:color w:val="000000"/>
          <w:sz w:val="28"/>
          <w:szCs w:val="28"/>
        </w:rPr>
      </w:pPr>
      <w:r w:rsidRPr="00DF0B6C">
        <w:rPr>
          <w:rStyle w:val="a4"/>
          <w:color w:val="000000"/>
          <w:sz w:val="28"/>
          <w:szCs w:val="28"/>
        </w:rPr>
        <w:t>«Количество компаний и индивидуальных предпринимателей, получивших поддержку в виде зонтичных поручительств Корпорации, выросло вдвое по сравнению с 2023 годом. Механизм „зонтика“ помог еще большему числу представителей микро-, малого и среднего бизнеса привлечь необходимые для развития кредиты при нехватке или отсутствии залогового обеспечения»</w:t>
      </w:r>
      <w:r w:rsidRPr="00DF0B6C">
        <w:rPr>
          <w:color w:val="000000"/>
          <w:sz w:val="28"/>
          <w:szCs w:val="28"/>
        </w:rPr>
        <w:t>, — сообщил генеральный директор Корпорации МСП </w:t>
      </w:r>
      <w:r w:rsidRPr="00DF0B6C">
        <w:rPr>
          <w:rStyle w:val="a5"/>
          <w:color w:val="000000"/>
          <w:sz w:val="28"/>
          <w:szCs w:val="28"/>
        </w:rPr>
        <w:t>Александр Исаевич</w:t>
      </w:r>
      <w:r w:rsidRPr="00DF0B6C">
        <w:rPr>
          <w:color w:val="000000"/>
          <w:sz w:val="28"/>
          <w:szCs w:val="28"/>
        </w:rPr>
        <w:t xml:space="preserve">, уточнив, что среди получателей поддержки почти 84% из категории </w:t>
      </w:r>
      <w:proofErr w:type="spellStart"/>
      <w:r w:rsidRPr="00DF0B6C">
        <w:rPr>
          <w:color w:val="000000"/>
          <w:sz w:val="28"/>
          <w:szCs w:val="28"/>
        </w:rPr>
        <w:t>микробизнеса</w:t>
      </w:r>
      <w:proofErr w:type="spellEnd"/>
      <w:r w:rsidRPr="00DF0B6C">
        <w:rPr>
          <w:color w:val="000000"/>
          <w:sz w:val="28"/>
          <w:szCs w:val="28"/>
        </w:rPr>
        <w:t>.</w:t>
      </w:r>
    </w:p>
    <w:p w:rsidR="00DF0B6C" w:rsidRPr="00DF0B6C" w:rsidRDefault="00DF0B6C" w:rsidP="00DF0B6C">
      <w:pPr>
        <w:pStyle w:val="a3"/>
        <w:shd w:val="clear" w:color="auto" w:fill="FFFFFF"/>
        <w:spacing w:line="324" w:lineRule="atLeast"/>
        <w:jc w:val="both"/>
        <w:rPr>
          <w:color w:val="000000"/>
          <w:sz w:val="28"/>
          <w:szCs w:val="28"/>
        </w:rPr>
      </w:pPr>
      <w:r w:rsidRPr="00DF0B6C">
        <w:rPr>
          <w:color w:val="000000"/>
          <w:sz w:val="28"/>
          <w:szCs w:val="28"/>
        </w:rPr>
        <w:t>Наибольший объем кредитов с зонтичными поручительствами привлекли предприниматели Москвы (99,8 млрд рублей), Санкт-Петербурга (34,2 млрд рублей), Московской области (26,3 млрд рублей), Краснодарского края (20 млрд рублей), Свердловской (16,6 млрд рублей), Новосибирской (13,3 млрд рублей), Ростовской (12,9 млрд рублей), Нижегородской (10,4 млрд рублей), Воронежской (10,3 млрд рублей) и Самарской (10,1 млрд рублей) областей. Увеличивается объем финансирования малого и среднего бизнеса при помощи зонтичных поручительств в новых российских регионах: в ДНР (586 млн рублей), ЛНР (299 млн рублей), Запорожской и Херсонской областях (83 млн и 44 млн рублей соответственно). Поддержку получили порядка 330 компаний.</w:t>
      </w:r>
    </w:p>
    <w:p w:rsidR="00DF0B6C" w:rsidRPr="00DF0B6C" w:rsidRDefault="00DF0B6C" w:rsidP="00DF0B6C">
      <w:pPr>
        <w:pStyle w:val="a3"/>
        <w:shd w:val="clear" w:color="auto" w:fill="FFFFFF"/>
        <w:spacing w:line="324" w:lineRule="atLeast"/>
        <w:jc w:val="both"/>
        <w:rPr>
          <w:color w:val="000000"/>
          <w:sz w:val="28"/>
          <w:szCs w:val="28"/>
        </w:rPr>
      </w:pPr>
      <w:r w:rsidRPr="00DF0B6C">
        <w:rPr>
          <w:color w:val="000000"/>
          <w:sz w:val="28"/>
          <w:szCs w:val="28"/>
        </w:rPr>
        <w:t>В регионах — лидерах по приросту количества получателей поддержки Республики Тыва — в шесть раз, Адыгея — в пять раз и более, Калмыкия и Дагестан — в четыре раза и более, Бурятия, Ингушетия, Саха (Якутия), Северная Осетия — Алания, Белгородская, Брянская, Липецкая и Орловская области, Ямало-Ненецкий автономный округ, Камчатский край — в три раза и более.</w:t>
      </w:r>
    </w:p>
    <w:p w:rsidR="00DF0B6C" w:rsidRPr="00DF0B6C" w:rsidRDefault="00DF0B6C" w:rsidP="00DF0B6C">
      <w:pPr>
        <w:pStyle w:val="a3"/>
        <w:shd w:val="clear" w:color="auto" w:fill="FFFFFF"/>
        <w:spacing w:line="324" w:lineRule="atLeast"/>
        <w:jc w:val="both"/>
        <w:rPr>
          <w:color w:val="000000"/>
          <w:sz w:val="28"/>
          <w:szCs w:val="28"/>
        </w:rPr>
      </w:pPr>
      <w:r w:rsidRPr="00DF0B6C">
        <w:rPr>
          <w:color w:val="000000"/>
          <w:sz w:val="28"/>
          <w:szCs w:val="28"/>
        </w:rPr>
        <w:lastRenderedPageBreak/>
        <w:t>Зонтичный механизм предполагает предоставление банкам — партнерам Корпорации МСП лимитов поручительств, в рамках которых финансовые организации выдают кредиты предпринимателям. Такие поручительства Корпорации МСП покрывают до 50% банковского кредита. Сумма одного поручительства может достигать 1 млрд рублей при сроке до 10 лет. Механизм гарантирует банку исполнение обязательств по такому кредиту, тем самым снижая резервы и высвобождая ликвидность для дополнительного кредитования бизнеса.</w:t>
      </w:r>
    </w:p>
    <w:bookmarkEnd w:id="0"/>
    <w:p w:rsidR="006C7DAE" w:rsidRDefault="006C7DAE"/>
    <w:sectPr w:rsidR="006C7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F5"/>
    <w:rsid w:val="006C7DAE"/>
    <w:rsid w:val="007825F5"/>
    <w:rsid w:val="00DF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5B9F4-5944-4E40-BA50-651C6A0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F0B6C"/>
    <w:rPr>
      <w:i/>
      <w:iCs/>
    </w:rPr>
  </w:style>
  <w:style w:type="character" w:styleId="a5">
    <w:name w:val="Strong"/>
    <w:basedOn w:val="a0"/>
    <w:uiPriority w:val="22"/>
    <w:qFormat/>
    <w:rsid w:val="00DF0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2025-02-25T14:40:00Z</dcterms:created>
  <dcterms:modified xsi:type="dcterms:W3CDTF">2025-02-25T14:40:00Z</dcterms:modified>
</cp:coreProperties>
</file>